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4569" w:type="dxa"/>
        <w:tblLayout w:type="fixed"/>
        <w:tblLook w:val="01E0"/>
      </w:tblPr>
      <w:tblGrid>
        <w:gridCol w:w="9616"/>
        <w:gridCol w:w="4953"/>
      </w:tblGrid>
      <w:tr w:rsidR="00AA6B73">
        <w:tc>
          <w:tcPr>
            <w:tcW w:w="96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6B73" w:rsidRDefault="00AA6B73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953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953"/>
            </w:tblGrid>
            <w:tr w:rsidR="00AA6B73">
              <w:tc>
                <w:tcPr>
                  <w:tcW w:w="4953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AA6B73" w:rsidRDefault="007B5E3F">
                  <w:r>
                    <w:rPr>
                      <w:color w:val="000000"/>
                      <w:sz w:val="28"/>
                      <w:szCs w:val="28"/>
                    </w:rPr>
                    <w:t>Приложение 2</w:t>
                  </w:r>
                </w:p>
                <w:p w:rsidR="00AA6B73" w:rsidRDefault="007B5E3F">
                  <w:r>
                    <w:rPr>
                      <w:color w:val="000000"/>
                      <w:sz w:val="28"/>
                      <w:szCs w:val="28"/>
                    </w:rPr>
                    <w:t>к решению Совета</w:t>
                  </w:r>
                </w:p>
                <w:p w:rsidR="00AA6B73" w:rsidRDefault="007B5E3F">
                  <w:r>
                    <w:rPr>
                      <w:color w:val="000000"/>
                      <w:sz w:val="28"/>
                      <w:szCs w:val="28"/>
                    </w:rPr>
                    <w:t>муниципального района</w:t>
                  </w:r>
                </w:p>
                <w:p w:rsidR="00AA6B73" w:rsidRDefault="007B5E3F">
                  <w:r>
                    <w:rPr>
                      <w:color w:val="000000"/>
                      <w:sz w:val="28"/>
                      <w:szCs w:val="28"/>
                    </w:rPr>
                    <w:t>Ишимбайский район</w:t>
                  </w:r>
                </w:p>
                <w:p w:rsidR="00AA6B73" w:rsidRDefault="007B5E3F">
                  <w:r>
                    <w:rPr>
                      <w:color w:val="000000"/>
                      <w:sz w:val="28"/>
                      <w:szCs w:val="28"/>
                    </w:rPr>
                    <w:t>Республики Башкортостан</w:t>
                  </w:r>
                </w:p>
                <w:p w:rsidR="00AA6B73" w:rsidRDefault="007B5E3F" w:rsidP="007B5E3F">
                  <w:r>
                    <w:rPr>
                      <w:color w:val="000000"/>
                      <w:sz w:val="28"/>
                      <w:szCs w:val="28"/>
                    </w:rPr>
                    <w:t xml:space="preserve">от  декабря 2023 года № </w:t>
                  </w:r>
                </w:p>
              </w:tc>
            </w:tr>
          </w:tbl>
          <w:p w:rsidR="00AA6B73" w:rsidRDefault="00AA6B73">
            <w:pPr>
              <w:spacing w:line="1" w:lineRule="auto"/>
            </w:pPr>
          </w:p>
        </w:tc>
      </w:tr>
    </w:tbl>
    <w:p w:rsidR="00AA6B73" w:rsidRDefault="00AA6B73">
      <w:pPr>
        <w:rPr>
          <w:vanish/>
        </w:rPr>
      </w:pPr>
    </w:p>
    <w:tbl>
      <w:tblPr>
        <w:tblOverlap w:val="never"/>
        <w:tblW w:w="14570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AA6B73">
        <w:trPr>
          <w:jc w:val="center"/>
        </w:trPr>
        <w:tc>
          <w:tcPr>
            <w:tcW w:w="14570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p w:rsidR="00AA6B73" w:rsidRDefault="007B5E3F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Нормативы распределения доходов между бюджетами сельских и городского поселений, входящих</w:t>
            </w:r>
          </w:p>
          <w:p w:rsidR="00AA6B73" w:rsidRDefault="007B5E3F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 состав муниципального района Ишимбайский район Республики Башкортостан,</w:t>
            </w:r>
          </w:p>
          <w:p w:rsidR="00AA6B73" w:rsidRDefault="007B5E3F" w:rsidP="007B5E3F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 и на плановый период 2025 и 2026 годов</w:t>
            </w:r>
          </w:p>
        </w:tc>
      </w:tr>
    </w:tbl>
    <w:p w:rsidR="00AA6B73" w:rsidRDefault="00AA6B73">
      <w:pPr>
        <w:rPr>
          <w:vanish/>
        </w:rPr>
      </w:pPr>
    </w:p>
    <w:tbl>
      <w:tblPr>
        <w:tblOverlap w:val="never"/>
        <w:tblW w:w="14570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AA6B73">
        <w:trPr>
          <w:jc w:val="right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AA6B73" w:rsidRDefault="007B5E3F">
            <w:pPr>
              <w:jc w:val="right"/>
            </w:pPr>
            <w:r>
              <w:rPr>
                <w:color w:val="000000"/>
                <w:sz w:val="28"/>
                <w:szCs w:val="28"/>
              </w:rPr>
              <w:t>(в процентах)</w:t>
            </w:r>
          </w:p>
        </w:tc>
      </w:tr>
    </w:tbl>
    <w:p w:rsidR="00AA6B73" w:rsidRDefault="00AA6B73">
      <w:pPr>
        <w:rPr>
          <w:vanish/>
        </w:rPr>
      </w:pPr>
      <w:bookmarkStart w:id="1" w:name="__bookmark_1"/>
      <w:bookmarkEnd w:id="1"/>
    </w:p>
    <w:tbl>
      <w:tblPr>
        <w:tblOverlap w:val="never"/>
        <w:tblW w:w="14470" w:type="dxa"/>
        <w:tblInd w:w="100" w:type="dxa"/>
        <w:tblLayout w:type="fixed"/>
        <w:tblLook w:val="01E0"/>
      </w:tblPr>
      <w:tblGrid>
        <w:gridCol w:w="4448"/>
        <w:gridCol w:w="8333"/>
        <w:gridCol w:w="1689"/>
      </w:tblGrid>
      <w:tr w:rsidR="00AA6B73">
        <w:trPr>
          <w:tblHeader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tbl>
            <w:tblPr>
              <w:tblOverlap w:val="never"/>
              <w:tblW w:w="43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308"/>
            </w:tblGrid>
            <w:tr w:rsidR="00AA6B73">
              <w:trPr>
                <w:jc w:val="center"/>
              </w:trPr>
              <w:tc>
                <w:tcPr>
                  <w:tcW w:w="43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6B73" w:rsidRDefault="007B5E3F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Код вида, подвида доходов бю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жета</w:t>
                  </w:r>
                </w:p>
              </w:tc>
            </w:tr>
          </w:tbl>
          <w:p w:rsidR="00AA6B73" w:rsidRDefault="00AA6B73">
            <w:pPr>
              <w:spacing w:line="1" w:lineRule="auto"/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A6B73" w:rsidRDefault="00AA6B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222"/>
            </w:tblGrid>
            <w:tr w:rsidR="00AA6B73">
              <w:trPr>
                <w:jc w:val="center"/>
              </w:trPr>
              <w:tc>
                <w:tcPr>
                  <w:tcW w:w="8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6B73" w:rsidRDefault="007B5E3F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AA6B73" w:rsidRDefault="00AA6B7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A6B73" w:rsidRDefault="00AA6B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30"/>
            </w:tblGrid>
            <w:tr w:rsidR="00AA6B73">
              <w:trPr>
                <w:jc w:val="center"/>
              </w:trPr>
              <w:tc>
                <w:tcPr>
                  <w:tcW w:w="1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6B73" w:rsidRDefault="007B5E3F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Бюджеты сельских и городского поселений</w:t>
                  </w:r>
                </w:p>
              </w:tc>
            </w:tr>
          </w:tbl>
          <w:p w:rsidR="00AA6B73" w:rsidRDefault="00AA6B73">
            <w:pPr>
              <w:spacing w:line="1" w:lineRule="auto"/>
            </w:pPr>
          </w:p>
        </w:tc>
      </w:tr>
    </w:tbl>
    <w:p w:rsidR="00AA6B73" w:rsidRDefault="00AA6B73">
      <w:pPr>
        <w:rPr>
          <w:vanish/>
        </w:rPr>
      </w:pPr>
      <w:bookmarkStart w:id="2" w:name="__bookmark_2"/>
      <w:bookmarkEnd w:id="2"/>
    </w:p>
    <w:tbl>
      <w:tblPr>
        <w:tblOverlap w:val="never"/>
        <w:tblW w:w="14470" w:type="dxa"/>
        <w:tblInd w:w="100" w:type="dxa"/>
        <w:tblLayout w:type="fixed"/>
        <w:tblLook w:val="01E0"/>
      </w:tblPr>
      <w:tblGrid>
        <w:gridCol w:w="4447"/>
        <w:gridCol w:w="8334"/>
        <w:gridCol w:w="1689"/>
      </w:tblGrid>
      <w:tr w:rsidR="00AA6B73">
        <w:trPr>
          <w:trHeight w:hRule="exact" w:val="374"/>
          <w:tblHeader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328"/>
            </w:tblGrid>
            <w:tr w:rsidR="00AA6B73">
              <w:trPr>
                <w:jc w:val="center"/>
              </w:trPr>
              <w:tc>
                <w:tcPr>
                  <w:tcW w:w="43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6B73" w:rsidRDefault="007B5E3F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AA6B73" w:rsidRDefault="00AA6B73">
            <w:pPr>
              <w:spacing w:line="1" w:lineRule="auto"/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B73" w:rsidRDefault="00AA6B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24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242"/>
            </w:tblGrid>
            <w:tr w:rsidR="00AA6B73">
              <w:trPr>
                <w:jc w:val="center"/>
              </w:trPr>
              <w:tc>
                <w:tcPr>
                  <w:tcW w:w="8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6B73" w:rsidRDefault="007B5E3F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AA6B73" w:rsidRDefault="00AA6B73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B73" w:rsidRDefault="00AA6B7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AA6B73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6B73" w:rsidRDefault="007B5E3F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AA6B73" w:rsidRDefault="00AA6B73">
            <w:pPr>
              <w:spacing w:line="1" w:lineRule="auto"/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000 1 01 02010 01 0000 110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000 1 01 02010 01 1000 110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вии со статьями 227, 227.1 и 228 Налогового кодекса Российской </w:t>
            </w:r>
            <w:r>
              <w:rPr>
                <w:color w:val="000000"/>
                <w:sz w:val="28"/>
                <w:szCs w:val="28"/>
              </w:rPr>
              <w:lastRenderedPageBreak/>
              <w:t>Федерации (сумма платежа (перерасчеты, недоимка и задолже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ность по соответствующему платежу, в том числе по отмененн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000 1 01 02020 01 0000 110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ществления деятельности физическими лицами, зарегистрирова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 качестве индивидуальных предпринимателей, нотариусов, занимающихся частной практикой, адвокатов, учредивших адв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катские кабинеты, и других лиц, занимающихся частной практ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кой в соответствии со статьей 227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000 1 01 02020 01 1000 110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ществления деятельности физическими лицами, зарегистрирова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 качестве индивидуальных предпринимателей, нотариусов, занимающихся частной практикой, адвокатов, учредивших адв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катские кабинеты, и других лиц, занимающихся частной практ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кой в соответствии со статьей 227 Налогового кодекса Российской Федерации (сумма платежа (перерасчеты, недоимка и задолже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ность по соответствующему платежу, в том числе по отмененн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000 1 01 02030 01 0000 110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скими лицами в соответствии со статьей 228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000 1 01 02030 01 1000 110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скими лицами в соответствии со статьей 228 Налогового кодекса </w:t>
            </w:r>
            <w:r>
              <w:rPr>
                <w:color w:val="000000"/>
                <w:sz w:val="28"/>
                <w:szCs w:val="28"/>
              </w:rPr>
              <w:lastRenderedPageBreak/>
              <w:t>Российской Федерации (сумма платежа (перерасчеты, недоимка и задолженность по соответствующему платежу,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мененному)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000 1 01 02040 01 0000 110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вых платежей с доходов, полученных физическими лицами, я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ляющимися иностранными гражданами, осуществляющими труд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000 1 01 02040 01 1000 110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вых платежей с доходов, полученных физическими лицами, я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ляющимися иностранными гражданами, осуществляющими труд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вую деятельность по найму на основании патента в соответствии со статьей 227.1 Налогового кодекса Российской Федерации (су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ма платежа (перерасчеты, недоимка и задолженность по соответс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вующему платежу, в том числе по отмененному)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МЫЕ НА ТЕРРИТОРИИ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000 1 03 02231 01 0000 110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и местными бюджетами с учетом установленных диффере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цированных нормативов отчислений в местные бюджеты (по но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мативам, установленным федеральным законом о федеральном бюджете в целях формирования дорожных фондов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000 1 03 02251 01 0000 110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и местными бюджетами с учетом установленных диффере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цированных нормативов отчислений в местные бюджеты (по но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мативам, установленным федеральным законом о федеральном бюджете в целях формирования дорожных фондов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000 1 05 01011 01 0000 110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000 1 05 01011 01 1000 110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000 1 05 01011 01 2100 110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000 1 05 01021 01 1000 110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000 1 05 04020 02 0000 110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логообложения, зачисляемый в бюджеты муниципальных районов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000 1 05 04020 02 1000 110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логообложения, зачисляемый в бюджеты муниципальных районов (сумма платежа (перерасчеты, недоимка и задолженность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ветствующему платежу, в том числе по отмененному)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000 1 06 02010 02 0000 110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000 1 06 02010 02 1000 110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организаций по имуществу, не входящему в Единую систему газоснабжения (сумма платежа (перерасчеты,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доимка и задолженность по соответствующему платежу, в том числе по отмененному)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НАЛОГИ, СБОРЫ И РЕГУЛЯРНЫЕ ПЛАТЕЖИ ЗА ПОЛ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ЗОВАНИЕ ПРИРОДНЫМИ РЕСУРСАМИ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000 1 07 01020 01 0000 110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000 1 07 01020 01 1000 110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добычу общераспространенных полезных ископаемых (сумма платежа (перерасчеты, недоимка и задолженность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ветствующему платежу, в том числе по отмененному)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000 1 08 03010 01 0000 110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 Суда Российской Федерации)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000 1 08 03010 01 1050 110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Государственная пошлина по делам, рассматриваемым в судах </w:t>
            </w:r>
            <w:r>
              <w:rPr>
                <w:color w:val="000000"/>
                <w:sz w:val="28"/>
                <w:szCs w:val="28"/>
              </w:rPr>
              <w:lastRenderedPageBreak/>
              <w:t>общей юрисдикции, мировыми судьями (за исключением Верхо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 Суда Российской Федерации) (государственная пошлина, у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лачиваемая при обращении в суды)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000 1 08 07150 01 0000 110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ДЯЩЕГОСЯ В ГОСУДАРСТВЕННОЙ И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000 1 11 05013 05 0000 120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торые расположены в границах сельских поселений и межселе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территорий муниципальных районов, а также средства от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дажи права на заключение договоров аренды указанных земельных участков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000 1 11 05013 13 0000 120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торые расположены в границах городских поселений, а также средства от продажи права на заключение договоров аренды ук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занных земельных участков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000 1 11 05025 05 0000 120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000 1 11 05075 05 0000 120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районов (за исключением земельных участков)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000 1 11 07015 05 0000 120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перечисления части прибыли, остающейся после упл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налогов и иных обязательных платежей муниципальных 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тарных предприятий, созданных муниципальными районами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000 1 11 09045 05 0000 120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ПЛАТЕЖИ ПРИ ПОЛЬЗОВАНИИ ПРИРОДНЫМИ РЕСУ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САМИ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000 1 12 01010 01 0000 120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000 1 12 01010 01 6000 120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 Российской Федерации)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000 1 12 01041 01 0000 120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000 1 12 01041 01 6000 120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размещение отходов производства (федеральные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ственные органы, Банк России, органы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 Российской Федерации)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000 1 12 01042 01 0000 120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000 1 12 01042 01 6000 120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размещение твердых коммунальных отходов (федерал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ные государственные органы, Банк России, органы управления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сударственными внебюджетными фондами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000 1 13 01995 05 0000 130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ПРОДАЖИ МАТЕРИАЛЬНЫХ И НЕМАТ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РИАЛЬНЫХ АКТИВОВ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000 1 14 02053 05 0000 410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000 1 14 06013 05 0000 430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венность на которые не разграничена и которые расположены в границах сельских поселений и межселенных территорий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000 1 14 06013 13 0000 430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000 1 14 06313 05 0000 430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мельных участков и земель (или) земельных участков,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венная собственность на которые не разграничена и которые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положены в границах сельских поселений и межселенных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муниципальных районов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000 1 14 06313 13 0000 430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мельных участков и земель (или) земельных участков,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венная собственность на которые не разграничена и которые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положены в границах городских поселений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000 1 16 01053 01 0000 140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правонарушениях, за административные правонарушения, посягающие на права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дан, налагаемые мировыми судьями, комиссиями по делам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и защите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000 1 16 01053 01 9000 140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правонарушениях, за административные правонарушения, посягающие на права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дан, налагаемые мировыми судьями, комиссиями по делам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и защите их прав (иные штрафы)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000 1 16 01063 01 0000 140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правонарушениях, за административные правонарушения, посягающие на здоровье, 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нитарно-эпидемиологическое благополучие населения и общес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венную нравственность, налагаемые мировыми судьями, коми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сиями по делам несовершеннолетних и защите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000 1 16 01063 01 0101 140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правонарушениях, за административные правонарушения, посягающие на здоровье, 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нитарно-эпидемиологическое благополучие населения и общес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венную нравственность, налагаемые мировыми судьями, коми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сиями по делам несовершеннолетних и защите их прав (штрафы за побои)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000 1 16 01083 01 0000 140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правонарушениях, за административные правонарушения в области охраны окружа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000 1 16 01083 01 0281 140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правонарушениях, за административные правонарушения в области охраны окружа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000 1 16 01143 01 0000 140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ской деятельности и деятельности саморегулируемых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ций, налагаемые мировыми судьями, комиссиями по делам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и защите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000 1 16 01143 01 0016 140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ской деятельности и деятельности саморегулируемых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ций, налагаемые мировыми судьями, комиссиями по делам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и защите их прав (штрафы за нарушение правил продажи этилового спирта, алкогольной и спиртосодержащей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дукции)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000 1 16 01193 01 0000 140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шеннолетних и защите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000 1 16 01193 01 0005 140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</w:t>
            </w:r>
            <w:r>
              <w:rPr>
                <w:color w:val="000000"/>
                <w:sz w:val="28"/>
                <w:szCs w:val="28"/>
              </w:rPr>
              <w:lastRenderedPageBreak/>
              <w:t>федеральными законами на осуществление государственного 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зора (должностного лица), органа (должностного лица),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ляющего муниципальный контроль)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000 1 16 01203 01 0000 140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ный порядок и общественную безопасность, налагаемые миров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 судьями, комиссиями по делам несовершеннолетних и защите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000 1 16 01203 01 9000 140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ный порядок и общественную безопасность, налагаемые миров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 судьями, комиссиями по делам несовершеннолетних и защите их прав (иные штрафы)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000 1 16 02020 02 0000 140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000 1 16 10123 01 0000 140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000 1 16 10123 01 0051 140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>
              <w:rPr>
                <w:color w:val="000000"/>
                <w:sz w:val="28"/>
                <w:szCs w:val="28"/>
              </w:rPr>
              <w:lastRenderedPageBreak/>
              <w:t>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 о раздельном учете задолженности)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AA6B73">
            <w:pPr>
              <w:spacing w:line="28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ТОВ БЮДЖЕТНОЙ СИСТЕМЫ РОССИЙСКОЙ ФЕДЕР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AA6B73">
            <w:pPr>
              <w:spacing w:line="28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000 2 02 15001 05 0000 150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000 2 02 15002 05 0000 150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000 2 02 20216 05 7216 150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содержание,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монт, капитальный ремонт, строительство и реконструкцию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мобильных дорог общего пользования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000 2 02 25097 05 0000 150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создание в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образовательных организациях, расположенных в сельской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ности и малых городах, условий для занятий физической культ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рой и 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000 2 02 25098 05 0000 150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обновление 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териально-технической базы для организации учебно-исследовательской, научно-практической, творческой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000 2 02 25171 05 0000 150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оснащение (о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новление материально-технической базы) оборудованием, средс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вами обучения и воспитания образовательных организаций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личных типов для реализации дополнительных общеразвивающих программ, для создания информационных систем в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000 2 02 25304 05 0000 150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общее образование в государственных и муниципальных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000 2 02 25491 05 0000 150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создание новых мест в образовательных организациях различных типов для реал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дополнительных общеразвивающих программ всех напра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000 2 02 25497 05 0000 150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реализацию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обеспечению жильем молодых семей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000 2 02 25513 05 0000 150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развитие сети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реждений культурно-досугового типа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000 2 02 25519 05 0000 150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поддержку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расли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000 2 02 25576 05 0000 150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000 2 02 25750 05 0000 150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реализацию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модернизации школьных систем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000 2 02 25786 05 0000 150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обеспечение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нащения государственных и муниципальных общеобразовател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организаций, в том числе структурных подразделений указа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организаций, государственными символами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000 2 02 29998 05 0000 150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финансовое обеспечение отдельных полномочий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000 2 02 29999 05 7204 150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на доведение средней заработной платы работников муниципальных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культуры до среднемесячной начисленной заработной платы наемных работников в организациях, у индивидуальных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нимателей и физических лиц (среднемесячного дохода от трудовой деятельности) в Республике Башкортостан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000 2 02 29999 05 7205 150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на доведение средней заработной платы педагогических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 дополнительного образования до средней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работной платы учителей в Республике Башкортостан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000 2 02 29999 05 7208 150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питанием обучающихся с ограниченными возможностями 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ровья и детей-инвалидов в муниципальных общеобразовательных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000 2 02 29999 05 7248 150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цию проектов по комплексному благоустройству дворовых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муниципальных образований Республики Башкортостан «Башкирские дворики»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000 2 02 29999 05 7252 150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 мероприятий по развитию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000 2 02 29999 05 7265 150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на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приятия по капитальному ремонту водонапорных башен (систем централизованного водоснабжения) на территории сельских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лений Республики Башкортостан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000 2 02 29999 05 7277 150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(реализация дополнительных мер социальной поддержки по освобождению от платы, взимаемой за присмотр и уход за детьми граждан из Ре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публики Башкортостан, принимающих участие в специальной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енной операции, посещающими муниципальные образовательные организации, реализующие образовательные программы дошкол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образования, в Республике Башкортостан)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000 2 02 29999 05 7278 150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(обеспеч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детей участников специальной военной операции – учащихся 5-11 классов горячим бесплатным питанием в общеобразовател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организациях Республики Башкортостан)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000 2 02 29999 05 7290 150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на финанс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рование организаций, осуществляющих спортивную подготовку по базовым видам спорта в соответствии с требованиями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ральных стандартов спортивной подготовки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000 2 02 29999 05 9805 150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муниципальных районов (реализация проектов по строительству, реконструкции, модернизации объе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инфраструктуры за счет средств бюджета Республики Башко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тостан)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000 2 02 30024 05 7302 150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обеспечение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тупного и бесплатного дошкольного образования 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дошкольных образовательных организациях, общедоступного и бесплатного дошкольного, начального общего, основного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го, среднего общего образования в муниципальных общеобразов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нальных услуг) в части расходов на оплату труда педагогических работников муниципальных дошкольных 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и муниципальных общеобразовательных организаций,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доставляющих дошкольное образование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000 2 02 30024 05 7303 150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обеспечение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тупного и бесплатного дошкольного образования 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дошкольных образовательных организациях, общедоступного и бесплатного дошкольного, начального общего, основного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го, среднего общего образования в муниципальных общеобразов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тельных организациях, обеспечение дополнительного образования </w:t>
            </w:r>
            <w:r>
              <w:rPr>
                <w:color w:val="000000"/>
                <w:sz w:val="28"/>
                <w:szCs w:val="28"/>
              </w:rPr>
              <w:lastRenderedPageBreak/>
              <w:t>детей в муниципальных общеобразовательных организациях (за исключением расходов на содержание зданий и оплату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нальных услуг) в части расходов на приобретение учебников и учебных пособий, средств обучения, игр, игрушек муниципальных дошкольных образовательных организаций и муниципальных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щеобразовательных организаций, предоставляющих дошкольное образование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000 2 02 30024 05 7304 150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обеспечение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тупного и бесплатного дошкольного образования 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дошкольных образовательных организациях, общедоступного и бесплатного дошкольного, начального общего, основного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го, среднего общего образования в муниципальных общеобразов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нальных услуг) в части расходов на оплату труда педагогических работников муниципальных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000 2 02 30024 05 7305 150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обеспечение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тупного и бесплатного дошкольного образования 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дошкольных образовательных организациях, общедоступного и бесплатного дошкольного, начального общего, основного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го, среднего общего образования в муниципальных общеобразов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нальных услуг) в части расходов на приобретение учебников и учебных пособий, средств обучения, игр, игрушек муниципальных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000 2 02 30024 05 7306 150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000 2 02 30024 05 7307 150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расчету и предоставлению дот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бюджетам поселений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000 2 02 30024 05 7308 150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000 2 02 30024 05 7309 150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созданию и обеспечению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административных комиссий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000 2 02 30024 05 7310 150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обеспечение бесплатным проездом детей-сирот и детей, оставшихся без поп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по </w:t>
            </w:r>
            <w:r>
              <w:rPr>
                <w:color w:val="000000"/>
                <w:sz w:val="28"/>
                <w:szCs w:val="28"/>
              </w:rPr>
              <w:lastRenderedPageBreak/>
              <w:t>очной форме обучения по основным профессиональным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тельным программам и (или) по программам профессиональной подготовки по профессиям рабочих, должностям служащих за счет средств бюджета Республики Башкортостан или местных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тов, на городском, пригородном транспорте, в сельской местности на внутрирайонном транспорте (кроме такси)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000 2 02 30024 05 7314 150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осуществление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полномочий по организации проведения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 по обустройству, содержанию, строительству и консервации скотомогильников (биотермических ям)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000 2 02 30024 05 7315 150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социальной поддержке детей-сирот и детей, оставшихся без попечения родителей (за исключ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нием детей, обучающихся в федеральных образовательных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низациях), кроме полномочий по содержанию детей-сирот и детей, оставшихся без попечения родителей, в государственных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вательных организациях и медицинских организациях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венной системы здравоохранения для детей-сирот и детей, 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шихся без попечения родителей, в части ежемесячного пособия на содержание детей, переданных на воспитание в приемную и 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тронатную семью, вознаграждения, причитающегося приемным и патронатным родителям, пособий на содержание детей, переда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под опеку и попечительство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000 2 02 30024 05 7316 150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муниципальных районов на осуществление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государственных полномочий по социальной поддержке учащихся муниципальных общеобразовательных организаций из многоде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малоимущих семей по обеспечению бесплатным питанием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000 2 02 30024 05 7317 150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социальной поддержке учащихся муниципальных общеобразовательных организаций из многоде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малоимущих семей по обеспечению школьной формой либо заменяющим ее комплектом детской одежды для посещения школьных занятий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000 2 02 30024 05 7318 150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социальной поддержке детей-сирот и детей, оставшихся без попечения родителей, а также детей, находящихся в трудной жизненной ситуации, в части организации и обеспечения отдыха и оздоровления детей указанных категорий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000 2 02 30024 05 7319 150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организации и обеспечению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000 2 02 30024 05 7321 150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проведение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монта жилых помещений, нанимателями или членами семей нан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мателей по договорам социального найма либо собственниками которых являются дети-сироты и дети, оставшиеся без попечения родителей, лица из числа детей-сирот и детей, оставшихся без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000 2 02 30024 05 7330 150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обеспечение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тупного и бесплатного дошкольного образования 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дошкольных образовательных организациях, общедоступного и бесплатного дошкольного, начального общего, основного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го, среднего общего образования в муниципальных общеобразов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нальных услуг) в части расходов на оплату труда администрати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но-управленческого и вспомогательного персонала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дошкольных образовательных организаций и муниципальных общеобразовательных организаций, предоставляющих дошкольное образование, участвующего в реализации общеобразовательных программ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000 2 02 30024 05 7331 150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обеспечение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гарантий реализации прав на получение общедо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тупного и бесплатного дошкольного образования 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дошкольных образовательных организациях, общедоступного и бесплатного дошкольного, начального общего, основного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го, среднего общего образования в муниципальных общеобразов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организациях, обеспечение дополнительного образования детей в муниципальных общеобразовательных организациях (за исключением расходов на содержание зданий и оплату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нальных услуг) в части расходов на оплату труда администрати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но-управленческого и вспомогательного персонала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общеобразовательных организаций, участвующего в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общеобразовательных программ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000 2 02 30024 05 7334 150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организации мероприятий при осуществлении деятельности по обращению с животными без вл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дельцев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000 2 02 30024 05 7335 150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обеспечению инвалидов и семей, имеющих детей-инвалидов, нуждающихся в жилых помещениях, предоставляемых по договорам социального найма, вставших на учет после 1 января 2005 года и страдающих тяжелыми формами хронических заболеваний, по их выбору жилыми помещениями либо социальными выплатами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000 2 02 30024 05 7336 150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государственных полномочий по обеспечению детей-сирот и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тей, оставшихся без попечения родителей, лиц из числа детей-сирот и детей, оставшихся без попечения родителей, жилыми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мещениями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000 2 02 30024 05 7337 150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социальную поддержку учащихся муниципальных общеобразовательных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из многодетных малоимущих семей по предоставлению набора школьно-письменных принадлежностей первоклассникам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000 2 02 30029 05 0000 150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000 2 02 35082 05 0000 150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родителей, лицам из их числа по договорам найма специал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000 2 02 35118 05 0000 150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000 2 02 35120 05 0000 150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000 2 02 40014 05 0000 150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передаваемые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из бюджетов поселений на осуществление части полномочий по решению вопросов местного значения в соответс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вии с заключенными соглашениями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000 2 02 45179 05 0000 150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передаваемые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на проведение мероприятий по обеспечению деятельности советников директора по воспитанию и взаимоде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ствию с детскими общественными объединениями в общеобраз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000 2 02 45303 05 0000 150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передаваемые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на ежемесячное денежное вознаграждение за классное руководство педагогическим работникам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и муниципальных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000 2 02 45393 05 0000 150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передаваемые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на финансовое обеспечение дорожной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 в рамках реализации национального проекта «Безопасные качественные дороги»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000 2 02 45454 05 0000 150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передаваемые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на создание модельных муниципальных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000 2 02 45519 05 0000 150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передаваемые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на поддержку отрасли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000 2 02 49999 05 7404 150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районов (мероприятия по благоустройству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рий населенных пунктов, коммунальному хозяйству, обеспечению мер пожарной безопасности и охране окружающей среды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сельских поселений)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000 2 02 49999 05 7411 150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районов (реализация мероприятий в области культ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ры, искусства, укрепления единства российской нации и этнокул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турного развития народов в Республике Башкортостан)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000 2 02 49999 05 7429 150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ниципальных районов (финансирование мероприятий по благоус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ройству административных центров муниципальных районов Ре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публики Башкортостан)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100</w:t>
            </w:r>
          </w:p>
        </w:tc>
      </w:tr>
      <w:tr w:rsidR="00AA6B73"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000 2 02 49999 10 7204 150</w:t>
            </w:r>
          </w:p>
        </w:tc>
        <w:tc>
          <w:tcPr>
            <w:tcW w:w="8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0" w:type="dxa"/>
              <w:bottom w:w="0" w:type="dxa"/>
              <w:right w:w="80" w:type="dxa"/>
            </w:tcMar>
          </w:tcPr>
          <w:p w:rsidR="00AA6B73" w:rsidRDefault="007B5E3F">
            <w:pPr>
              <w:spacing w:line="28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 на доведение средней заработной платы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ботников муниципальных учреждений культуры до среднемеся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ной начисленной заработной платы наемных работников в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зациях, у индивидуальных предпринимателей и физических лиц (среднемесячного дохода от трудовой деятельности) в Республике Башкортостан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AA6B73" w:rsidRDefault="007B5E3F">
            <w:pPr>
              <w:spacing w:line="28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AA6B73" w:rsidRDefault="00AA6B73">
      <w:pPr>
        <w:rPr>
          <w:vanish/>
        </w:rPr>
      </w:pPr>
    </w:p>
    <w:tbl>
      <w:tblPr>
        <w:tblOverlap w:val="never"/>
        <w:tblW w:w="1457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AA6B73"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A6B73" w:rsidRDefault="007B5E3F">
            <w:pPr>
              <w:jc w:val="both"/>
            </w:pPr>
            <w:r>
              <w:rPr>
                <w:color w:val="000000"/>
                <w:sz w:val="28"/>
                <w:szCs w:val="28"/>
              </w:rPr>
              <w:t>Погашение задолженности по пеням и штрафам за несвоевременную уплату налогов и сборов в части отмененных нал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гов и сборов осуществляется по нормативам зачисления соответствующих налогов и сборов в бюджеты сельских и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родского поселений муниципального района Ишимбайский район Республики Башкортостан</w:t>
            </w:r>
          </w:p>
        </w:tc>
      </w:tr>
    </w:tbl>
    <w:p w:rsidR="00AA6B73" w:rsidRDefault="00AA6B73">
      <w:pPr>
        <w:rPr>
          <w:vanish/>
        </w:rPr>
      </w:pPr>
    </w:p>
    <w:tbl>
      <w:tblPr>
        <w:tblOverlap w:val="never"/>
        <w:tblW w:w="1457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AA6B73"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A6B73" w:rsidRDefault="007B5E3F">
            <w:pPr>
              <w:jc w:val="both"/>
            </w:pPr>
            <w:r>
              <w:rPr>
                <w:color w:val="000000"/>
                <w:sz w:val="28"/>
                <w:szCs w:val="28"/>
              </w:rPr>
              <w:t xml:space="preserve">Председатель Совета муниципального района </w:t>
            </w:r>
            <w:r w:rsidR="00307794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>Г.И. Баканова</w:t>
            </w:r>
          </w:p>
        </w:tc>
      </w:tr>
    </w:tbl>
    <w:p w:rsidR="007B5E3F" w:rsidRDefault="007B5E3F"/>
    <w:sectPr w:rsidR="007B5E3F" w:rsidSect="00AA6B73">
      <w:headerReference w:type="default" r:id="rId6"/>
      <w:footerReference w:type="default" r:id="rId7"/>
      <w:pgSz w:w="16837" w:h="11905" w:orient="landscape"/>
      <w:pgMar w:top="1133" w:right="850" w:bottom="1133" w:left="1417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C9C" w:rsidRDefault="00E42C9C" w:rsidP="00AA6B73">
      <w:r>
        <w:separator/>
      </w:r>
    </w:p>
  </w:endnote>
  <w:endnote w:type="continuationSeparator" w:id="1">
    <w:p w:rsidR="00E42C9C" w:rsidRDefault="00E42C9C" w:rsidP="00AA6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7B5E3F">
      <w:tc>
        <w:tcPr>
          <w:tcW w:w="14785" w:type="dxa"/>
        </w:tcPr>
        <w:p w:rsidR="007B5E3F" w:rsidRDefault="007B5E3F">
          <w:pPr>
            <w:rPr>
              <w:color w:val="000000"/>
            </w:rPr>
          </w:pPr>
        </w:p>
        <w:p w:rsidR="007B5E3F" w:rsidRDefault="007B5E3F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C9C" w:rsidRDefault="00E42C9C" w:rsidP="00AA6B73">
      <w:r>
        <w:separator/>
      </w:r>
    </w:p>
  </w:footnote>
  <w:footnote w:type="continuationSeparator" w:id="1">
    <w:p w:rsidR="00E42C9C" w:rsidRDefault="00E42C9C" w:rsidP="00AA6B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7B5E3F">
      <w:tc>
        <w:tcPr>
          <w:tcW w:w="14785" w:type="dxa"/>
        </w:tcPr>
        <w:p w:rsidR="007B5E3F" w:rsidRDefault="008D573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B5E3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07794">
            <w:rPr>
              <w:noProof/>
              <w:color w:val="000000"/>
              <w:sz w:val="28"/>
              <w:szCs w:val="28"/>
            </w:rPr>
            <w:t>26</w:t>
          </w:r>
          <w:r>
            <w:fldChar w:fldCharType="end"/>
          </w:r>
        </w:p>
        <w:p w:rsidR="007B5E3F" w:rsidRDefault="007B5E3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6B73"/>
    <w:rsid w:val="00307794"/>
    <w:rsid w:val="006825C6"/>
    <w:rsid w:val="007A1E0E"/>
    <w:rsid w:val="007B5E3F"/>
    <w:rsid w:val="008D5736"/>
    <w:rsid w:val="00AA6B73"/>
    <w:rsid w:val="00C03BA5"/>
    <w:rsid w:val="00C437A1"/>
    <w:rsid w:val="00E42C9C"/>
    <w:rsid w:val="00EB6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8D5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A6B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5348</Words>
  <Characters>30487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2023-11-15T07:38:00Z</cp:lastPrinted>
  <dcterms:created xsi:type="dcterms:W3CDTF">2023-11-03T09:36:00Z</dcterms:created>
  <dcterms:modified xsi:type="dcterms:W3CDTF">2023-11-15T07:38:00Z</dcterms:modified>
</cp:coreProperties>
</file>